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C09AF" w14:textId="77777777" w:rsidR="003B6ECD" w:rsidRDefault="003B6ECD" w:rsidP="003B6ECD">
      <w:pPr>
        <w:pStyle w:val="NoSpacing"/>
        <w:jc w:val="center"/>
        <w:rPr>
          <w:rFonts w:asciiTheme="minorHAnsi" w:hAnsiTheme="minorHAnsi" w:cstheme="minorHAnsi"/>
          <w:b/>
          <w:sz w:val="28"/>
          <w:szCs w:val="28"/>
        </w:rPr>
      </w:pPr>
    </w:p>
    <w:p w14:paraId="46BC10CC" w14:textId="60228097" w:rsidR="00006005" w:rsidRPr="003B6ECD" w:rsidRDefault="00006005" w:rsidP="003B6ECD">
      <w:pPr>
        <w:pStyle w:val="NoSpacing"/>
        <w:jc w:val="center"/>
        <w:rPr>
          <w:rFonts w:asciiTheme="minorHAnsi" w:hAnsiTheme="minorHAnsi" w:cstheme="minorHAnsi"/>
          <w:b/>
          <w:sz w:val="24"/>
          <w:szCs w:val="28"/>
        </w:rPr>
      </w:pPr>
      <w:r w:rsidRPr="003B6ECD">
        <w:rPr>
          <w:rFonts w:asciiTheme="minorHAnsi" w:hAnsiTheme="minorHAnsi" w:cstheme="minorHAnsi"/>
          <w:b/>
          <w:sz w:val="24"/>
          <w:szCs w:val="28"/>
        </w:rPr>
        <w:t>Taxation Disciplinary Board</w:t>
      </w:r>
    </w:p>
    <w:p w14:paraId="42BBB7DA" w14:textId="4FA44825" w:rsidR="00BD60B3" w:rsidRPr="003B6ECD" w:rsidRDefault="00BD60B3" w:rsidP="000967E3">
      <w:pPr>
        <w:pStyle w:val="NoSpacing"/>
        <w:jc w:val="center"/>
        <w:rPr>
          <w:rFonts w:asciiTheme="minorHAnsi" w:hAnsiTheme="minorHAnsi" w:cstheme="minorHAnsi"/>
          <w:b/>
          <w:sz w:val="24"/>
          <w:szCs w:val="28"/>
        </w:rPr>
      </w:pPr>
      <w:r w:rsidRPr="003B6ECD">
        <w:rPr>
          <w:rFonts w:asciiTheme="minorHAnsi" w:hAnsiTheme="minorHAnsi" w:cstheme="minorHAnsi"/>
          <w:b/>
          <w:sz w:val="24"/>
          <w:szCs w:val="28"/>
        </w:rPr>
        <w:t>Consultation</w:t>
      </w:r>
      <w:r w:rsidR="003F1120" w:rsidRPr="003B6ECD">
        <w:rPr>
          <w:rFonts w:asciiTheme="minorHAnsi" w:hAnsiTheme="minorHAnsi" w:cstheme="minorHAnsi"/>
          <w:b/>
          <w:sz w:val="24"/>
          <w:szCs w:val="28"/>
        </w:rPr>
        <w:t xml:space="preserve"> on Sanctions policy</w:t>
      </w:r>
    </w:p>
    <w:p w14:paraId="6C7099B7" w14:textId="77777777" w:rsidR="000967E3" w:rsidRPr="000967E3" w:rsidRDefault="000967E3" w:rsidP="000967E3">
      <w:pPr>
        <w:pStyle w:val="NoSpacing"/>
        <w:jc w:val="both"/>
        <w:rPr>
          <w:rFonts w:asciiTheme="minorHAnsi" w:hAnsiTheme="minorHAnsi" w:cstheme="minorHAnsi"/>
          <w:b/>
          <w:sz w:val="24"/>
          <w:szCs w:val="24"/>
        </w:rPr>
      </w:pPr>
    </w:p>
    <w:p w14:paraId="0A51C0E3" w14:textId="3561F3AF" w:rsidR="00006005" w:rsidRPr="000967E3" w:rsidRDefault="00006005" w:rsidP="00823FE0">
      <w:pPr>
        <w:pStyle w:val="NoSpacing"/>
        <w:numPr>
          <w:ilvl w:val="0"/>
          <w:numId w:val="7"/>
        </w:numPr>
        <w:jc w:val="both"/>
        <w:rPr>
          <w:rFonts w:asciiTheme="minorHAnsi" w:hAnsiTheme="minorHAnsi" w:cstheme="minorHAnsi"/>
        </w:rPr>
      </w:pPr>
      <w:r w:rsidRPr="000967E3">
        <w:rPr>
          <w:rFonts w:asciiTheme="minorHAnsi" w:hAnsiTheme="minorHAnsi" w:cstheme="minorHAnsi"/>
        </w:rPr>
        <w:t>This consultation is intended to enable the Taxation Disciplinary Board (</w:t>
      </w:r>
      <w:r w:rsidR="000967E3">
        <w:rPr>
          <w:rFonts w:asciiTheme="minorHAnsi" w:hAnsiTheme="minorHAnsi" w:cstheme="minorHAnsi"/>
        </w:rPr>
        <w:t>‘</w:t>
      </w:r>
      <w:r w:rsidRPr="000967E3">
        <w:rPr>
          <w:rFonts w:asciiTheme="minorHAnsi" w:hAnsiTheme="minorHAnsi" w:cstheme="minorHAnsi"/>
        </w:rPr>
        <w:t>TDB</w:t>
      </w:r>
      <w:r w:rsidR="000967E3">
        <w:rPr>
          <w:rFonts w:asciiTheme="minorHAnsi" w:hAnsiTheme="minorHAnsi" w:cstheme="minorHAnsi"/>
        </w:rPr>
        <w:t>’</w:t>
      </w:r>
      <w:r w:rsidRPr="000967E3">
        <w:rPr>
          <w:rFonts w:asciiTheme="minorHAnsi" w:hAnsiTheme="minorHAnsi" w:cstheme="minorHAnsi"/>
        </w:rPr>
        <w:t xml:space="preserve">) to determine its future approach to enforcement and </w:t>
      </w:r>
      <w:r w:rsidR="00D26A94" w:rsidRPr="000967E3">
        <w:rPr>
          <w:rFonts w:asciiTheme="minorHAnsi" w:hAnsiTheme="minorHAnsi" w:cstheme="minorHAnsi"/>
        </w:rPr>
        <w:t xml:space="preserve">the </w:t>
      </w:r>
      <w:r w:rsidRPr="000967E3">
        <w:rPr>
          <w:rFonts w:asciiTheme="minorHAnsi" w:hAnsiTheme="minorHAnsi" w:cstheme="minorHAnsi"/>
        </w:rPr>
        <w:t xml:space="preserve">disciplinary actions that may be taken in relation to breaches of professional regulations maintained by the </w:t>
      </w:r>
      <w:r w:rsidRPr="000967E3">
        <w:rPr>
          <w:rFonts w:asciiTheme="minorHAnsi" w:eastAsia="Times New Roman" w:hAnsiTheme="minorHAnsi" w:cstheme="minorHAnsi"/>
          <w:color w:val="000000" w:themeColor="text1"/>
        </w:rPr>
        <w:t>Chartered Institute of Taxation (CIOT) and the Association of Taxation Technicians (ATT)</w:t>
      </w:r>
      <w:r w:rsidR="00D26A94" w:rsidRPr="000967E3">
        <w:rPr>
          <w:rFonts w:asciiTheme="minorHAnsi" w:eastAsia="Times New Roman" w:hAnsiTheme="minorHAnsi" w:cstheme="minorHAnsi"/>
          <w:color w:val="000000" w:themeColor="text1"/>
        </w:rPr>
        <w:t xml:space="preserve">, </w:t>
      </w:r>
      <w:r w:rsidRPr="000967E3">
        <w:rPr>
          <w:rFonts w:asciiTheme="minorHAnsi" w:hAnsiTheme="minorHAnsi" w:cstheme="minorHAnsi"/>
        </w:rPr>
        <w:t>and the</w:t>
      </w:r>
      <w:r w:rsidR="00D26A94" w:rsidRPr="000967E3">
        <w:rPr>
          <w:rFonts w:asciiTheme="minorHAnsi" w:hAnsiTheme="minorHAnsi" w:cstheme="minorHAnsi"/>
        </w:rPr>
        <w:t xml:space="preserve"> requirements of </w:t>
      </w:r>
      <w:r w:rsidRPr="000967E3">
        <w:rPr>
          <w:rFonts w:asciiTheme="minorHAnsi" w:hAnsiTheme="minorHAnsi" w:cstheme="minorHAnsi"/>
        </w:rPr>
        <w:t>Anti Money Laundering (AML) rules</w:t>
      </w:r>
      <w:r w:rsidR="006F2C29" w:rsidRPr="000967E3">
        <w:rPr>
          <w:rFonts w:asciiTheme="minorHAnsi" w:hAnsiTheme="minorHAnsi" w:cstheme="minorHAnsi"/>
        </w:rPr>
        <w:t xml:space="preserve"> and </w:t>
      </w:r>
      <w:r w:rsidR="001211AF" w:rsidRPr="000967E3">
        <w:rPr>
          <w:rFonts w:asciiTheme="minorHAnsi" w:hAnsiTheme="minorHAnsi" w:cstheme="minorHAnsi"/>
        </w:rPr>
        <w:t>regulations</w:t>
      </w:r>
      <w:r w:rsidRPr="000967E3">
        <w:rPr>
          <w:rFonts w:asciiTheme="minorHAnsi" w:hAnsiTheme="minorHAnsi" w:cstheme="minorHAnsi"/>
        </w:rPr>
        <w:t>.</w:t>
      </w:r>
    </w:p>
    <w:p w14:paraId="6BFB5D4E" w14:textId="77777777" w:rsidR="00006005" w:rsidRPr="000967E3" w:rsidRDefault="00006005" w:rsidP="000967E3">
      <w:pPr>
        <w:pStyle w:val="NoSpacing"/>
        <w:jc w:val="both"/>
        <w:rPr>
          <w:rFonts w:asciiTheme="minorHAnsi" w:hAnsiTheme="minorHAnsi" w:cstheme="minorHAnsi"/>
        </w:rPr>
      </w:pPr>
    </w:p>
    <w:p w14:paraId="3688FE3D" w14:textId="08BDC4AF" w:rsidR="00BD60B3" w:rsidRPr="000967E3" w:rsidRDefault="00BD60B3" w:rsidP="00823FE0">
      <w:pPr>
        <w:pStyle w:val="NoSpacing"/>
        <w:numPr>
          <w:ilvl w:val="0"/>
          <w:numId w:val="7"/>
        </w:numPr>
        <w:jc w:val="both"/>
        <w:rPr>
          <w:rFonts w:asciiTheme="minorHAnsi" w:eastAsia="Times New Roman" w:hAnsiTheme="minorHAnsi" w:cstheme="minorHAnsi"/>
          <w:color w:val="000000" w:themeColor="text1"/>
          <w:lang w:eastAsia="en-GB"/>
        </w:rPr>
      </w:pPr>
      <w:r w:rsidRPr="000967E3">
        <w:rPr>
          <w:rFonts w:asciiTheme="minorHAnsi" w:eastAsia="Times New Roman" w:hAnsiTheme="minorHAnsi" w:cstheme="minorHAnsi"/>
          <w:color w:val="000000" w:themeColor="text1"/>
          <w:lang w:eastAsia="en-GB"/>
        </w:rPr>
        <w:t xml:space="preserve">The TDB is an independent body that runs the complaints and disciplinary scheme for the </w:t>
      </w:r>
      <w:r w:rsidR="00645521">
        <w:rPr>
          <w:rFonts w:asciiTheme="minorHAnsi" w:hAnsiTheme="minorHAnsi" w:cstheme="minorHAnsi"/>
        </w:rPr>
        <w:t>CIOT</w:t>
      </w:r>
      <w:r w:rsidR="00006005" w:rsidRPr="000967E3">
        <w:rPr>
          <w:rFonts w:asciiTheme="minorHAnsi" w:hAnsiTheme="minorHAnsi" w:cstheme="minorHAnsi"/>
        </w:rPr>
        <w:t xml:space="preserve">/ATT. </w:t>
      </w:r>
      <w:r w:rsidRPr="000967E3">
        <w:rPr>
          <w:rFonts w:asciiTheme="minorHAnsi" w:eastAsia="Times New Roman" w:hAnsiTheme="minorHAnsi" w:cstheme="minorHAnsi"/>
          <w:color w:val="000000" w:themeColor="text1"/>
          <w:lang w:eastAsia="en-GB"/>
        </w:rPr>
        <w:t>It</w:t>
      </w:r>
      <w:r w:rsidR="00006005" w:rsidRPr="000967E3">
        <w:rPr>
          <w:rFonts w:asciiTheme="minorHAnsi" w:eastAsia="Times New Roman" w:hAnsiTheme="minorHAnsi" w:cstheme="minorHAnsi"/>
          <w:color w:val="000000" w:themeColor="text1"/>
          <w:lang w:eastAsia="en-GB"/>
        </w:rPr>
        <w:t>s aims are that it</w:t>
      </w:r>
    </w:p>
    <w:p w14:paraId="408E2E0C" w14:textId="77777777" w:rsidR="00BD60B3" w:rsidRPr="000967E3" w:rsidRDefault="00BD60B3" w:rsidP="003B6ECD">
      <w:pPr>
        <w:pStyle w:val="NoSpacing"/>
        <w:numPr>
          <w:ilvl w:val="0"/>
          <w:numId w:val="9"/>
        </w:numPr>
        <w:jc w:val="both"/>
        <w:rPr>
          <w:rFonts w:asciiTheme="minorHAnsi" w:eastAsia="Times New Roman" w:hAnsiTheme="minorHAnsi" w:cstheme="minorHAnsi"/>
          <w:color w:val="000000" w:themeColor="text1"/>
          <w:lang w:eastAsia="en-GB"/>
        </w:rPr>
      </w:pPr>
      <w:r w:rsidRPr="000967E3">
        <w:rPr>
          <w:rFonts w:asciiTheme="minorHAnsi" w:eastAsia="Times New Roman" w:hAnsiTheme="minorHAnsi" w:cstheme="minorHAnsi"/>
          <w:color w:val="000000" w:themeColor="text1"/>
          <w:lang w:eastAsia="en-GB"/>
        </w:rPr>
        <w:t>Operates a fair system acting in the public interest;</w:t>
      </w:r>
    </w:p>
    <w:p w14:paraId="29894B91" w14:textId="77777777" w:rsidR="00BD60B3" w:rsidRPr="000967E3" w:rsidRDefault="00BD60B3" w:rsidP="003B6ECD">
      <w:pPr>
        <w:pStyle w:val="NoSpacing"/>
        <w:numPr>
          <w:ilvl w:val="0"/>
          <w:numId w:val="9"/>
        </w:numPr>
        <w:jc w:val="both"/>
        <w:rPr>
          <w:rFonts w:asciiTheme="minorHAnsi" w:eastAsia="Times New Roman" w:hAnsiTheme="minorHAnsi" w:cstheme="minorHAnsi"/>
          <w:color w:val="000000" w:themeColor="text1"/>
          <w:lang w:eastAsia="en-GB"/>
        </w:rPr>
      </w:pPr>
      <w:r w:rsidRPr="000967E3">
        <w:rPr>
          <w:rFonts w:asciiTheme="minorHAnsi" w:eastAsia="Times New Roman" w:hAnsiTheme="minorHAnsi" w:cstheme="minorHAnsi"/>
          <w:color w:val="000000" w:themeColor="text1"/>
          <w:lang w:eastAsia="en-GB"/>
        </w:rPr>
        <w:t xml:space="preserve">Supports and maintains the high professional standards of the CIOT and ATT; and </w:t>
      </w:r>
    </w:p>
    <w:p w14:paraId="20673FE1" w14:textId="2A8F0322" w:rsidR="00200C6A" w:rsidRPr="000967E3" w:rsidRDefault="00BD60B3" w:rsidP="003B6ECD">
      <w:pPr>
        <w:pStyle w:val="NoSpacing"/>
        <w:numPr>
          <w:ilvl w:val="0"/>
          <w:numId w:val="9"/>
        </w:numPr>
        <w:jc w:val="both"/>
        <w:rPr>
          <w:rFonts w:asciiTheme="minorHAnsi" w:hAnsiTheme="minorHAnsi" w:cstheme="minorHAnsi"/>
        </w:rPr>
      </w:pPr>
      <w:r w:rsidRPr="000967E3">
        <w:rPr>
          <w:rFonts w:asciiTheme="minorHAnsi" w:eastAsia="Times New Roman" w:hAnsiTheme="minorHAnsi" w:cstheme="minorHAnsi"/>
          <w:color w:val="000000" w:themeColor="text1"/>
          <w:lang w:eastAsia="en-GB"/>
        </w:rPr>
        <w:t>Handles complaints quickly, impartially and effectively</w:t>
      </w:r>
    </w:p>
    <w:p w14:paraId="4B77EDEB" w14:textId="77777777" w:rsidR="000967E3" w:rsidRPr="000967E3" w:rsidRDefault="000967E3" w:rsidP="000967E3">
      <w:pPr>
        <w:pStyle w:val="NoSpacing"/>
        <w:ind w:left="720"/>
        <w:jc w:val="both"/>
        <w:rPr>
          <w:rFonts w:asciiTheme="minorHAnsi" w:hAnsiTheme="minorHAnsi" w:cstheme="minorHAnsi"/>
        </w:rPr>
      </w:pPr>
    </w:p>
    <w:p w14:paraId="0D091B5B" w14:textId="2FC2F4BD" w:rsidR="00200C6A" w:rsidRPr="000967E3" w:rsidRDefault="00BD60B3" w:rsidP="00823FE0">
      <w:pPr>
        <w:pStyle w:val="NoSpacing"/>
        <w:numPr>
          <w:ilvl w:val="0"/>
          <w:numId w:val="7"/>
        </w:numPr>
        <w:jc w:val="both"/>
        <w:rPr>
          <w:rFonts w:asciiTheme="minorHAnsi" w:hAnsiTheme="minorHAnsi" w:cstheme="minorHAnsi"/>
        </w:rPr>
      </w:pPr>
      <w:r w:rsidRPr="000967E3">
        <w:rPr>
          <w:rFonts w:asciiTheme="minorHAnsi" w:hAnsiTheme="minorHAnsi" w:cstheme="minorHAnsi"/>
        </w:rPr>
        <w:t>The TDB is carrying out a review of i</w:t>
      </w:r>
      <w:r w:rsidR="00006005" w:rsidRPr="000967E3">
        <w:rPr>
          <w:rFonts w:asciiTheme="minorHAnsi" w:hAnsiTheme="minorHAnsi" w:cstheme="minorHAnsi"/>
        </w:rPr>
        <w:t>ts</w:t>
      </w:r>
      <w:r w:rsidRPr="000967E3">
        <w:rPr>
          <w:rFonts w:asciiTheme="minorHAnsi" w:hAnsiTheme="minorHAnsi" w:cstheme="minorHAnsi"/>
        </w:rPr>
        <w:t xml:space="preserve"> policy on sanctions</w:t>
      </w:r>
      <w:r w:rsidR="00D26A94" w:rsidRPr="000967E3">
        <w:rPr>
          <w:rFonts w:asciiTheme="minorHAnsi" w:hAnsiTheme="minorHAnsi" w:cstheme="minorHAnsi"/>
        </w:rPr>
        <w:t xml:space="preserve">. The current sanctions guidance </w:t>
      </w:r>
      <w:r w:rsidRPr="000967E3">
        <w:rPr>
          <w:rFonts w:asciiTheme="minorHAnsi" w:hAnsiTheme="minorHAnsi" w:cstheme="minorHAnsi"/>
        </w:rPr>
        <w:t xml:space="preserve">can be found at </w:t>
      </w:r>
      <w:hyperlink r:id="rId11" w:anchor="1530885037347-dcb6eadd-fd2f" w:history="1">
        <w:r w:rsidRPr="000967E3">
          <w:rPr>
            <w:rStyle w:val="Hyperlink"/>
            <w:rFonts w:asciiTheme="minorHAnsi" w:hAnsiTheme="minorHAnsi" w:cstheme="minorHAnsi"/>
          </w:rPr>
          <w:t>https://tax-board.org.uk/guidance-to-panels/#1530885037347-dcb6eadd-fd2f</w:t>
        </w:r>
      </w:hyperlink>
      <w:r w:rsidRPr="000967E3">
        <w:rPr>
          <w:rFonts w:asciiTheme="minorHAnsi" w:hAnsiTheme="minorHAnsi" w:cstheme="minorHAnsi"/>
        </w:rPr>
        <w:t xml:space="preserve">. </w:t>
      </w:r>
    </w:p>
    <w:p w14:paraId="3A4D6125" w14:textId="77777777" w:rsidR="000967E3" w:rsidRPr="000967E3" w:rsidRDefault="000967E3" w:rsidP="000967E3">
      <w:pPr>
        <w:pStyle w:val="NoSpacing"/>
        <w:jc w:val="both"/>
        <w:rPr>
          <w:rFonts w:asciiTheme="minorHAnsi" w:hAnsiTheme="minorHAnsi" w:cstheme="minorHAnsi"/>
        </w:rPr>
      </w:pPr>
    </w:p>
    <w:p w14:paraId="20AC66C2" w14:textId="62F785F5" w:rsidR="00200C6A" w:rsidRPr="000967E3" w:rsidRDefault="00006005" w:rsidP="00823FE0">
      <w:pPr>
        <w:pStyle w:val="NoSpacing"/>
        <w:numPr>
          <w:ilvl w:val="0"/>
          <w:numId w:val="7"/>
        </w:numPr>
        <w:jc w:val="both"/>
        <w:rPr>
          <w:rFonts w:asciiTheme="minorHAnsi" w:hAnsiTheme="minorHAnsi" w:cstheme="minorHAnsi"/>
        </w:rPr>
      </w:pPr>
      <w:r w:rsidRPr="000967E3">
        <w:rPr>
          <w:rFonts w:asciiTheme="minorHAnsi" w:hAnsiTheme="minorHAnsi" w:cstheme="minorHAnsi"/>
        </w:rPr>
        <w:t xml:space="preserve">This review extends to the question of the publicity given to those subject to the TDB’s disciplinary procedures. </w:t>
      </w:r>
      <w:r w:rsidR="00BD60B3" w:rsidRPr="000967E3">
        <w:rPr>
          <w:rFonts w:asciiTheme="minorHAnsi" w:hAnsiTheme="minorHAnsi" w:cstheme="minorHAnsi"/>
        </w:rPr>
        <w:t>The policy for publicity in relation to these cas</w:t>
      </w:r>
      <w:r w:rsidR="000967E3" w:rsidRPr="000967E3">
        <w:rPr>
          <w:rFonts w:asciiTheme="minorHAnsi" w:hAnsiTheme="minorHAnsi" w:cstheme="minorHAnsi"/>
        </w:rPr>
        <w:t>es is set out in this document </w:t>
      </w:r>
      <w:hyperlink r:id="rId12" w:history="1">
        <w:r w:rsidR="00BD60B3" w:rsidRPr="000967E3">
          <w:rPr>
            <w:rStyle w:val="Hyperlink"/>
            <w:rFonts w:asciiTheme="minorHAnsi" w:hAnsiTheme="minorHAnsi" w:cstheme="minorHAnsi"/>
          </w:rPr>
          <w:t>https://tax-board.org.uk/wp-content/uploads/2018/07/Publicity-final-090727.pdf</w:t>
        </w:r>
      </w:hyperlink>
      <w:r w:rsidR="00200C6A" w:rsidRPr="000967E3">
        <w:rPr>
          <w:rFonts w:asciiTheme="minorHAnsi" w:hAnsiTheme="minorHAnsi" w:cstheme="minorHAnsi"/>
        </w:rPr>
        <w:t xml:space="preserve">. </w:t>
      </w:r>
      <w:r w:rsidR="00D26A94" w:rsidRPr="000967E3">
        <w:rPr>
          <w:rFonts w:asciiTheme="minorHAnsi" w:hAnsiTheme="minorHAnsi" w:cstheme="minorHAnsi"/>
        </w:rPr>
        <w:t xml:space="preserve">The </w:t>
      </w:r>
      <w:r w:rsidR="00200C6A" w:rsidRPr="000967E3">
        <w:rPr>
          <w:rFonts w:asciiTheme="minorHAnsi" w:hAnsiTheme="minorHAnsi" w:cstheme="minorHAnsi"/>
        </w:rPr>
        <w:t xml:space="preserve">policy does not </w:t>
      </w:r>
      <w:r w:rsidR="00D26A94" w:rsidRPr="000967E3">
        <w:rPr>
          <w:rFonts w:asciiTheme="minorHAnsi" w:hAnsiTheme="minorHAnsi" w:cstheme="minorHAnsi"/>
        </w:rPr>
        <w:t xml:space="preserve">currently </w:t>
      </w:r>
      <w:r w:rsidR="00200C6A" w:rsidRPr="000967E3">
        <w:rPr>
          <w:rFonts w:asciiTheme="minorHAnsi" w:hAnsiTheme="minorHAnsi" w:cstheme="minorHAnsi"/>
        </w:rPr>
        <w:t>address the position of members who receive a fixed penalty notice</w:t>
      </w:r>
      <w:r w:rsidR="00D26A94" w:rsidRPr="000967E3">
        <w:rPr>
          <w:rFonts w:asciiTheme="minorHAnsi" w:hAnsiTheme="minorHAnsi" w:cstheme="minorHAnsi"/>
        </w:rPr>
        <w:t xml:space="preserve"> and we intend to review this in the light of responses to this consultation</w:t>
      </w:r>
      <w:r w:rsidR="00200C6A" w:rsidRPr="000967E3">
        <w:rPr>
          <w:rFonts w:asciiTheme="minorHAnsi" w:hAnsiTheme="minorHAnsi" w:cstheme="minorHAnsi"/>
        </w:rPr>
        <w:t>.</w:t>
      </w:r>
    </w:p>
    <w:p w14:paraId="66A9F28B" w14:textId="77777777" w:rsidR="00200C6A" w:rsidRPr="000967E3" w:rsidRDefault="00200C6A" w:rsidP="000967E3">
      <w:pPr>
        <w:pStyle w:val="NoSpacing"/>
        <w:jc w:val="both"/>
        <w:rPr>
          <w:rFonts w:asciiTheme="minorHAnsi" w:hAnsiTheme="minorHAnsi" w:cstheme="minorHAnsi"/>
        </w:rPr>
      </w:pPr>
    </w:p>
    <w:p w14:paraId="7BBF5394" w14:textId="0A1CCCF6" w:rsidR="00BD60B3" w:rsidRPr="000967E3" w:rsidRDefault="00BD60B3" w:rsidP="00823FE0">
      <w:pPr>
        <w:pStyle w:val="NoSpacing"/>
        <w:numPr>
          <w:ilvl w:val="0"/>
          <w:numId w:val="7"/>
        </w:numPr>
        <w:jc w:val="both"/>
        <w:rPr>
          <w:rFonts w:asciiTheme="minorHAnsi" w:hAnsiTheme="minorHAnsi" w:cstheme="minorHAnsi"/>
        </w:rPr>
      </w:pPr>
      <w:r w:rsidRPr="000967E3">
        <w:rPr>
          <w:rFonts w:asciiTheme="minorHAnsi" w:hAnsiTheme="minorHAnsi" w:cstheme="minorHAnsi"/>
        </w:rPr>
        <w:t>In addition to the sanctions referred to above</w:t>
      </w:r>
      <w:r w:rsidR="000E6DE3" w:rsidRPr="000967E3">
        <w:rPr>
          <w:rFonts w:asciiTheme="minorHAnsi" w:hAnsiTheme="minorHAnsi" w:cstheme="minorHAnsi"/>
        </w:rPr>
        <w:t xml:space="preserve">, </w:t>
      </w:r>
      <w:r w:rsidRPr="000967E3">
        <w:rPr>
          <w:rFonts w:asciiTheme="minorHAnsi" w:hAnsiTheme="minorHAnsi" w:cstheme="minorHAnsi"/>
        </w:rPr>
        <w:t xml:space="preserve">there is the fixed penalty sanction </w:t>
      </w:r>
      <w:hyperlink r:id="rId13" w:history="1">
        <w:r w:rsidRPr="000967E3">
          <w:rPr>
            <w:rStyle w:val="Hyperlink"/>
            <w:rFonts w:asciiTheme="minorHAnsi" w:hAnsiTheme="minorHAnsi" w:cstheme="minorHAnsi"/>
          </w:rPr>
          <w:t>https://tax-board.org.uk/wp-content/uploads/2018/07/Guidance-on-Fixed-Penalty-Orders.pdf</w:t>
        </w:r>
      </w:hyperlink>
      <w:r w:rsidR="000967E3" w:rsidRPr="000967E3">
        <w:rPr>
          <w:rFonts w:asciiTheme="minorHAnsi" w:hAnsiTheme="minorHAnsi" w:cstheme="minorHAnsi"/>
        </w:rPr>
        <w:t xml:space="preserve"> </w:t>
      </w:r>
      <w:r w:rsidRPr="000967E3">
        <w:rPr>
          <w:rFonts w:asciiTheme="minorHAnsi" w:hAnsiTheme="minorHAnsi" w:cstheme="minorHAnsi"/>
        </w:rPr>
        <w:t>which may be used for administrative breaches</w:t>
      </w:r>
      <w:r w:rsidR="004E5660" w:rsidRPr="000967E3">
        <w:rPr>
          <w:rStyle w:val="FootnoteReference"/>
          <w:rFonts w:asciiTheme="minorHAnsi" w:hAnsiTheme="minorHAnsi" w:cstheme="minorHAnsi"/>
        </w:rPr>
        <w:footnoteReference w:id="1"/>
      </w:r>
      <w:r w:rsidRPr="000967E3">
        <w:rPr>
          <w:rFonts w:asciiTheme="minorHAnsi" w:hAnsiTheme="minorHAnsi" w:cstheme="minorHAnsi"/>
        </w:rPr>
        <w:t xml:space="preserve">. This enables the breach to be dealt with more quickly than the full disciplinary process. The names of members whose cases are settled through the fixed penalty process are not publicised. However, should a member fail to remedy the breach which gave rise to the fixed penalty, or fail to pay the penalty </w:t>
      </w:r>
      <w:r w:rsidR="003F1120" w:rsidRPr="000967E3">
        <w:rPr>
          <w:rFonts w:asciiTheme="minorHAnsi" w:hAnsiTheme="minorHAnsi" w:cstheme="minorHAnsi"/>
        </w:rPr>
        <w:t xml:space="preserve">they </w:t>
      </w:r>
      <w:r w:rsidRPr="000967E3">
        <w:rPr>
          <w:rFonts w:asciiTheme="minorHAnsi" w:hAnsiTheme="minorHAnsi" w:cstheme="minorHAnsi"/>
        </w:rPr>
        <w:t xml:space="preserve">are referred for the full disciplinary process. </w:t>
      </w:r>
    </w:p>
    <w:p w14:paraId="02F4E998" w14:textId="77777777" w:rsidR="00200C6A" w:rsidRPr="000967E3" w:rsidRDefault="00200C6A" w:rsidP="000967E3">
      <w:pPr>
        <w:pStyle w:val="NoSpacing"/>
        <w:jc w:val="both"/>
        <w:rPr>
          <w:rFonts w:asciiTheme="minorHAnsi" w:hAnsiTheme="minorHAnsi" w:cstheme="minorHAnsi"/>
        </w:rPr>
      </w:pPr>
    </w:p>
    <w:p w14:paraId="38F1955D" w14:textId="699960EE" w:rsidR="00200C6A" w:rsidRPr="000967E3" w:rsidRDefault="00006005" w:rsidP="00823FE0">
      <w:pPr>
        <w:pStyle w:val="NoSpacing"/>
        <w:numPr>
          <w:ilvl w:val="0"/>
          <w:numId w:val="7"/>
        </w:numPr>
        <w:jc w:val="both"/>
        <w:rPr>
          <w:rFonts w:asciiTheme="minorHAnsi" w:hAnsiTheme="minorHAnsi" w:cstheme="minorHAnsi"/>
        </w:rPr>
      </w:pPr>
      <w:r w:rsidRPr="000967E3">
        <w:rPr>
          <w:rFonts w:asciiTheme="minorHAnsi" w:hAnsiTheme="minorHAnsi" w:cstheme="minorHAnsi"/>
        </w:rPr>
        <w:t xml:space="preserve">We are carrying out this consultation in two stages. </w:t>
      </w:r>
      <w:r w:rsidR="00B430E9" w:rsidRPr="000967E3">
        <w:rPr>
          <w:rFonts w:asciiTheme="minorHAnsi" w:hAnsiTheme="minorHAnsi" w:cstheme="minorHAnsi"/>
        </w:rPr>
        <w:t>During the initial</w:t>
      </w:r>
      <w:r w:rsidRPr="000967E3">
        <w:rPr>
          <w:rFonts w:asciiTheme="minorHAnsi" w:hAnsiTheme="minorHAnsi" w:cstheme="minorHAnsi"/>
        </w:rPr>
        <w:t xml:space="preserve"> stage we are seeking c</w:t>
      </w:r>
      <w:r w:rsidR="00BD60B3" w:rsidRPr="000967E3">
        <w:rPr>
          <w:rFonts w:asciiTheme="minorHAnsi" w:hAnsiTheme="minorHAnsi" w:cstheme="minorHAnsi"/>
        </w:rPr>
        <w:t>omments on any aspect of the</w:t>
      </w:r>
      <w:r w:rsidRPr="000967E3">
        <w:rPr>
          <w:rFonts w:asciiTheme="minorHAnsi" w:hAnsiTheme="minorHAnsi" w:cstheme="minorHAnsi"/>
        </w:rPr>
        <w:t xml:space="preserve"> operation of the scheme. We are, though, particularly interested in comments on the</w:t>
      </w:r>
      <w:r w:rsidR="00BD60B3" w:rsidRPr="000967E3">
        <w:rPr>
          <w:rFonts w:asciiTheme="minorHAnsi" w:hAnsiTheme="minorHAnsi" w:cstheme="minorHAnsi"/>
        </w:rPr>
        <w:t xml:space="preserve"> sanctions policy</w:t>
      </w:r>
      <w:r w:rsidR="000967E3">
        <w:rPr>
          <w:rFonts w:asciiTheme="minorHAnsi" w:hAnsiTheme="minorHAnsi" w:cstheme="minorHAnsi"/>
        </w:rPr>
        <w:t xml:space="preserve">. </w:t>
      </w:r>
      <w:r w:rsidRPr="000967E3">
        <w:rPr>
          <w:rFonts w:asciiTheme="minorHAnsi" w:hAnsiTheme="minorHAnsi" w:cstheme="minorHAnsi"/>
        </w:rPr>
        <w:t xml:space="preserve">The intention is to develop a second stage consultation on </w:t>
      </w:r>
      <w:r w:rsidR="00B430E9" w:rsidRPr="000967E3">
        <w:rPr>
          <w:rFonts w:asciiTheme="minorHAnsi" w:hAnsiTheme="minorHAnsi" w:cstheme="minorHAnsi"/>
        </w:rPr>
        <w:t xml:space="preserve">any proposed </w:t>
      </w:r>
      <w:r w:rsidRPr="000967E3">
        <w:rPr>
          <w:rFonts w:asciiTheme="minorHAnsi" w:hAnsiTheme="minorHAnsi" w:cstheme="minorHAnsi"/>
        </w:rPr>
        <w:t>changes to the sanctions policy based on responses to this first stage</w:t>
      </w:r>
      <w:r w:rsidR="000967E3">
        <w:rPr>
          <w:rFonts w:asciiTheme="minorHAnsi" w:hAnsiTheme="minorHAnsi" w:cstheme="minorHAnsi"/>
        </w:rPr>
        <w:t xml:space="preserve">. </w:t>
      </w:r>
      <w:r w:rsidRPr="000967E3">
        <w:rPr>
          <w:rFonts w:asciiTheme="minorHAnsi" w:hAnsiTheme="minorHAnsi" w:cstheme="minorHAnsi"/>
        </w:rPr>
        <w:t xml:space="preserve">Comments on the general operation of the TDB’s procedures will be taken into account in </w:t>
      </w:r>
      <w:r w:rsidR="00200C6A" w:rsidRPr="000967E3">
        <w:rPr>
          <w:rFonts w:asciiTheme="minorHAnsi" w:hAnsiTheme="minorHAnsi" w:cstheme="minorHAnsi"/>
        </w:rPr>
        <w:t xml:space="preserve">revising our practices during 2020. </w:t>
      </w:r>
    </w:p>
    <w:p w14:paraId="49E5DB40" w14:textId="77777777" w:rsidR="000967E3" w:rsidRPr="000967E3" w:rsidRDefault="000967E3" w:rsidP="000967E3">
      <w:pPr>
        <w:pStyle w:val="NoSpacing"/>
        <w:jc w:val="both"/>
        <w:rPr>
          <w:rFonts w:asciiTheme="minorHAnsi" w:hAnsiTheme="minorHAnsi" w:cstheme="minorHAnsi"/>
        </w:rPr>
      </w:pPr>
    </w:p>
    <w:p w14:paraId="2781E387" w14:textId="030B68DB" w:rsidR="00200C6A" w:rsidRPr="000967E3" w:rsidRDefault="00200C6A" w:rsidP="00823FE0">
      <w:pPr>
        <w:pStyle w:val="NoSpacing"/>
        <w:numPr>
          <w:ilvl w:val="0"/>
          <w:numId w:val="7"/>
        </w:numPr>
        <w:jc w:val="both"/>
        <w:rPr>
          <w:rFonts w:asciiTheme="minorHAnsi" w:hAnsiTheme="minorHAnsi" w:cstheme="minorHAnsi"/>
        </w:rPr>
      </w:pPr>
      <w:r w:rsidRPr="000967E3">
        <w:rPr>
          <w:rFonts w:asciiTheme="minorHAnsi" w:hAnsiTheme="minorHAnsi" w:cstheme="minorHAnsi"/>
        </w:rPr>
        <w:t xml:space="preserve">Submissions should be sent to </w:t>
      </w:r>
      <w:hyperlink r:id="rId14" w:history="1">
        <w:r w:rsidR="00743582" w:rsidRPr="006C0CC0">
          <w:rPr>
            <w:rStyle w:val="Hyperlink"/>
            <w:rFonts w:asciiTheme="minorHAnsi" w:hAnsiTheme="minorHAnsi" w:cstheme="minorHAnsi"/>
          </w:rPr>
          <w:t>pdouglas@tax-board.org.uk</w:t>
        </w:r>
      </w:hyperlink>
      <w:r w:rsidR="00D61DDA" w:rsidRPr="000967E3">
        <w:rPr>
          <w:rFonts w:asciiTheme="minorHAnsi" w:hAnsiTheme="minorHAnsi" w:cstheme="minorHAnsi"/>
        </w:rPr>
        <w:t xml:space="preserve"> </w:t>
      </w:r>
      <w:r w:rsidRPr="000967E3">
        <w:rPr>
          <w:rFonts w:asciiTheme="minorHAnsi" w:hAnsiTheme="minorHAnsi" w:cstheme="minorHAnsi"/>
        </w:rPr>
        <w:t xml:space="preserve">or to </w:t>
      </w:r>
      <w:r w:rsidR="002A48BD">
        <w:rPr>
          <w:rFonts w:asciiTheme="minorHAnsi" w:hAnsiTheme="minorHAnsi" w:cstheme="minorHAnsi"/>
        </w:rPr>
        <w:t xml:space="preserve">PO Box224, </w:t>
      </w:r>
      <w:proofErr w:type="spellStart"/>
      <w:r w:rsidR="002A48BD">
        <w:rPr>
          <w:rFonts w:asciiTheme="minorHAnsi" w:hAnsiTheme="minorHAnsi" w:cstheme="minorHAnsi"/>
        </w:rPr>
        <w:t>Rushlake</w:t>
      </w:r>
      <w:proofErr w:type="spellEnd"/>
      <w:r w:rsidR="002A48BD">
        <w:rPr>
          <w:rFonts w:asciiTheme="minorHAnsi" w:hAnsiTheme="minorHAnsi" w:cstheme="minorHAnsi"/>
        </w:rPr>
        <w:t xml:space="preserve"> Green, East Sussex TN21 1DQ</w:t>
      </w:r>
      <w:r w:rsidRPr="000967E3">
        <w:rPr>
          <w:rFonts w:asciiTheme="minorHAnsi" w:hAnsiTheme="minorHAnsi" w:cstheme="minorHAnsi"/>
        </w:rPr>
        <w:t xml:space="preserve">. All submissions will be regarded as confidential and will not be published. However, we intend to publish a summary of submissions received and reserve the right to include in that document anonymised extracts of submissions. </w:t>
      </w:r>
    </w:p>
    <w:p w14:paraId="615D5318" w14:textId="77777777" w:rsidR="00006005" w:rsidRPr="000967E3" w:rsidRDefault="00006005" w:rsidP="000967E3">
      <w:pPr>
        <w:pStyle w:val="NoSpacing"/>
        <w:jc w:val="both"/>
        <w:rPr>
          <w:rFonts w:asciiTheme="minorHAnsi" w:hAnsiTheme="minorHAnsi" w:cstheme="minorHAnsi"/>
        </w:rPr>
      </w:pPr>
    </w:p>
    <w:p w14:paraId="238D9FA2" w14:textId="3C14F5A4" w:rsidR="002A65E6" w:rsidRPr="000967E3" w:rsidRDefault="00BD60B3" w:rsidP="00823FE0">
      <w:pPr>
        <w:pStyle w:val="NoSpacing"/>
        <w:numPr>
          <w:ilvl w:val="0"/>
          <w:numId w:val="7"/>
        </w:numPr>
        <w:jc w:val="both"/>
        <w:rPr>
          <w:rFonts w:asciiTheme="minorHAnsi" w:hAnsiTheme="minorHAnsi" w:cstheme="minorHAnsi"/>
        </w:rPr>
      </w:pPr>
      <w:r w:rsidRPr="000967E3">
        <w:rPr>
          <w:rFonts w:asciiTheme="minorHAnsi" w:hAnsiTheme="minorHAnsi" w:cstheme="minorHAnsi"/>
        </w:rPr>
        <w:t xml:space="preserve">The closing date for this stage of the consultation is </w:t>
      </w:r>
      <w:r w:rsidR="00200C6A" w:rsidRPr="00037026">
        <w:rPr>
          <w:rFonts w:asciiTheme="minorHAnsi" w:hAnsiTheme="minorHAnsi" w:cstheme="minorHAnsi"/>
          <w:b/>
        </w:rPr>
        <w:t>31 March 2020</w:t>
      </w:r>
      <w:r w:rsidRPr="000967E3">
        <w:rPr>
          <w:rFonts w:asciiTheme="minorHAnsi" w:hAnsiTheme="minorHAnsi" w:cstheme="minorHAnsi"/>
        </w:rPr>
        <w:t>.</w:t>
      </w:r>
    </w:p>
    <w:sectPr w:rsidR="002A65E6" w:rsidRPr="000967E3" w:rsidSect="000967E3">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9EAB6" w14:textId="77777777" w:rsidR="00A851A1" w:rsidRDefault="00A851A1" w:rsidP="004E5660">
      <w:pPr>
        <w:spacing w:after="0" w:line="240" w:lineRule="auto"/>
      </w:pPr>
      <w:r>
        <w:separator/>
      </w:r>
    </w:p>
  </w:endnote>
  <w:endnote w:type="continuationSeparator" w:id="0">
    <w:p w14:paraId="73768072" w14:textId="77777777" w:rsidR="00A851A1" w:rsidRDefault="00A851A1" w:rsidP="004E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973734"/>
      <w:docPartObj>
        <w:docPartGallery w:val="Page Numbers (Bottom of Page)"/>
        <w:docPartUnique/>
      </w:docPartObj>
    </w:sdtPr>
    <w:sdtEndPr>
      <w:rPr>
        <w:noProof/>
      </w:rPr>
    </w:sdtEndPr>
    <w:sdtContent>
      <w:p w14:paraId="1AF3E863" w14:textId="56C286C3" w:rsidR="000967E3" w:rsidRDefault="000967E3">
        <w:pPr>
          <w:pStyle w:val="Footer"/>
          <w:jc w:val="center"/>
        </w:pPr>
        <w:r>
          <w:fldChar w:fldCharType="begin"/>
        </w:r>
        <w:r>
          <w:instrText xml:space="preserve"> PAGE   \* MERGEFORMAT </w:instrText>
        </w:r>
        <w:r>
          <w:fldChar w:fldCharType="separate"/>
        </w:r>
        <w:r w:rsidR="003B6ECD">
          <w:rPr>
            <w:noProof/>
          </w:rPr>
          <w:t>2</w:t>
        </w:r>
        <w:r>
          <w:rPr>
            <w:noProof/>
          </w:rPr>
          <w:fldChar w:fldCharType="end"/>
        </w:r>
      </w:p>
    </w:sdtContent>
  </w:sdt>
  <w:p w14:paraId="5709749A" w14:textId="77777777" w:rsidR="000967E3" w:rsidRDefault="00096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DAB16" w14:textId="77777777" w:rsidR="00A851A1" w:rsidRDefault="00A851A1" w:rsidP="004E5660">
      <w:pPr>
        <w:spacing w:after="0" w:line="240" w:lineRule="auto"/>
      </w:pPr>
      <w:r>
        <w:separator/>
      </w:r>
    </w:p>
  </w:footnote>
  <w:footnote w:type="continuationSeparator" w:id="0">
    <w:p w14:paraId="361DE622" w14:textId="77777777" w:rsidR="00A851A1" w:rsidRDefault="00A851A1" w:rsidP="004E5660">
      <w:pPr>
        <w:spacing w:after="0" w:line="240" w:lineRule="auto"/>
      </w:pPr>
      <w:r>
        <w:continuationSeparator/>
      </w:r>
    </w:p>
  </w:footnote>
  <w:footnote w:id="1">
    <w:p w14:paraId="30ACB545" w14:textId="0B5075BC" w:rsidR="003B6ECD" w:rsidRPr="000967E3" w:rsidRDefault="004E5660" w:rsidP="000967E3">
      <w:pPr>
        <w:pStyle w:val="FootnoteText"/>
        <w:jc w:val="both"/>
      </w:pPr>
      <w:r w:rsidRPr="000967E3">
        <w:rPr>
          <w:rStyle w:val="FootnoteReference"/>
        </w:rPr>
        <w:footnoteRef/>
      </w:r>
      <w:r w:rsidRPr="000967E3">
        <w:t xml:space="preserve"> The rates of fixed penalty have increased since the guidance note was first issued and a typical penalty is now £3</w:t>
      </w:r>
      <w:r w:rsidR="00743582">
        <w:t>50</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C44C" w14:textId="21D48729" w:rsidR="000967E3" w:rsidRDefault="000967E3">
    <w:pPr>
      <w:pStyle w:val="Header"/>
    </w:pPr>
    <w:r w:rsidRPr="00E0093D">
      <w:rPr>
        <w:rFonts w:asciiTheme="minorHAnsi" w:hAnsiTheme="minorHAnsi" w:cstheme="minorHAnsi"/>
        <w:b/>
        <w:bCs/>
        <w:noProof/>
        <w:sz w:val="28"/>
        <w:szCs w:val="28"/>
        <w:lang w:eastAsia="en-GB"/>
      </w:rPr>
      <w:drawing>
        <wp:inline distT="0" distB="0" distL="0" distR="0" wp14:anchorId="21B3C7BE" wp14:editId="09028E95">
          <wp:extent cx="1900962" cy="8858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3104" cy="896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87C5F"/>
    <w:multiLevelType w:val="multilevel"/>
    <w:tmpl w:val="E1EA595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9A7AF1"/>
    <w:multiLevelType w:val="hybridMultilevel"/>
    <w:tmpl w:val="A04291B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1F88543C"/>
    <w:multiLevelType w:val="multilevel"/>
    <w:tmpl w:val="77FE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23767A"/>
    <w:multiLevelType w:val="hybridMultilevel"/>
    <w:tmpl w:val="F5960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C564E1"/>
    <w:multiLevelType w:val="hybridMultilevel"/>
    <w:tmpl w:val="B126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A564FC"/>
    <w:multiLevelType w:val="multilevel"/>
    <w:tmpl w:val="E1EA595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A974AB"/>
    <w:multiLevelType w:val="hybridMultilevel"/>
    <w:tmpl w:val="445AC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E0DE2"/>
    <w:multiLevelType w:val="hybridMultilevel"/>
    <w:tmpl w:val="90C07EA2"/>
    <w:lvl w:ilvl="0" w:tplc="82AED12E">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DE4C48"/>
    <w:multiLevelType w:val="hybridMultilevel"/>
    <w:tmpl w:val="36FCAC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0"/>
  </w:num>
  <w:num w:numId="5">
    <w:abstractNumId w:val="1"/>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B3"/>
    <w:rsid w:val="00006005"/>
    <w:rsid w:val="00037026"/>
    <w:rsid w:val="000967E3"/>
    <w:rsid w:val="000E6DE3"/>
    <w:rsid w:val="001211AF"/>
    <w:rsid w:val="00200C6A"/>
    <w:rsid w:val="0029035E"/>
    <w:rsid w:val="002A48BD"/>
    <w:rsid w:val="002A65E6"/>
    <w:rsid w:val="002D7ACF"/>
    <w:rsid w:val="00323768"/>
    <w:rsid w:val="003B6ECD"/>
    <w:rsid w:val="003D25E8"/>
    <w:rsid w:val="003F1120"/>
    <w:rsid w:val="003F3131"/>
    <w:rsid w:val="004E5660"/>
    <w:rsid w:val="00540DC6"/>
    <w:rsid w:val="00645521"/>
    <w:rsid w:val="006526A6"/>
    <w:rsid w:val="006F2C29"/>
    <w:rsid w:val="00743582"/>
    <w:rsid w:val="00823FE0"/>
    <w:rsid w:val="00843D58"/>
    <w:rsid w:val="008C579F"/>
    <w:rsid w:val="00A851A1"/>
    <w:rsid w:val="00AB1ABB"/>
    <w:rsid w:val="00B430E9"/>
    <w:rsid w:val="00BD60B3"/>
    <w:rsid w:val="00D26A94"/>
    <w:rsid w:val="00D61DDA"/>
    <w:rsid w:val="00E0093D"/>
    <w:rsid w:val="00EA62AC"/>
    <w:rsid w:val="00F2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FB9AF"/>
  <w15:chartTrackingRefBased/>
  <w15:docId w15:val="{E7AC701A-A8FB-4DF0-9468-9CF75A3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B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0B3"/>
    <w:rPr>
      <w:color w:val="0563C1"/>
      <w:u w:val="single"/>
    </w:rPr>
  </w:style>
  <w:style w:type="character" w:styleId="FollowedHyperlink">
    <w:name w:val="FollowedHyperlink"/>
    <w:basedOn w:val="DefaultParagraphFont"/>
    <w:uiPriority w:val="99"/>
    <w:semiHidden/>
    <w:unhideWhenUsed/>
    <w:rsid w:val="00BD60B3"/>
    <w:rPr>
      <w:color w:val="954F72" w:themeColor="followedHyperlink"/>
      <w:u w:val="single"/>
    </w:rPr>
  </w:style>
  <w:style w:type="paragraph" w:styleId="BalloonText">
    <w:name w:val="Balloon Text"/>
    <w:basedOn w:val="Normal"/>
    <w:link w:val="BalloonTextChar"/>
    <w:uiPriority w:val="99"/>
    <w:semiHidden/>
    <w:unhideWhenUsed/>
    <w:rsid w:val="003F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120"/>
    <w:rPr>
      <w:rFonts w:ascii="Segoe UI" w:hAnsi="Segoe UI" w:cs="Segoe UI"/>
      <w:sz w:val="18"/>
      <w:szCs w:val="18"/>
    </w:rPr>
  </w:style>
  <w:style w:type="paragraph" w:styleId="Revision">
    <w:name w:val="Revision"/>
    <w:hidden/>
    <w:uiPriority w:val="99"/>
    <w:semiHidden/>
    <w:rsid w:val="000E6DE3"/>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0E6DE3"/>
    <w:rPr>
      <w:sz w:val="16"/>
      <w:szCs w:val="16"/>
    </w:rPr>
  </w:style>
  <w:style w:type="paragraph" w:styleId="CommentText">
    <w:name w:val="annotation text"/>
    <w:basedOn w:val="Normal"/>
    <w:link w:val="CommentTextChar"/>
    <w:uiPriority w:val="99"/>
    <w:semiHidden/>
    <w:unhideWhenUsed/>
    <w:rsid w:val="000E6DE3"/>
    <w:pPr>
      <w:spacing w:line="240" w:lineRule="auto"/>
    </w:pPr>
    <w:rPr>
      <w:sz w:val="20"/>
      <w:szCs w:val="20"/>
    </w:rPr>
  </w:style>
  <w:style w:type="character" w:customStyle="1" w:styleId="CommentTextChar">
    <w:name w:val="Comment Text Char"/>
    <w:basedOn w:val="DefaultParagraphFont"/>
    <w:link w:val="CommentText"/>
    <w:uiPriority w:val="99"/>
    <w:semiHidden/>
    <w:rsid w:val="000E6DE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E6DE3"/>
    <w:rPr>
      <w:b/>
      <w:bCs/>
    </w:rPr>
  </w:style>
  <w:style w:type="character" w:customStyle="1" w:styleId="CommentSubjectChar">
    <w:name w:val="Comment Subject Char"/>
    <w:basedOn w:val="CommentTextChar"/>
    <w:link w:val="CommentSubject"/>
    <w:uiPriority w:val="99"/>
    <w:semiHidden/>
    <w:rsid w:val="000E6DE3"/>
    <w:rPr>
      <w:rFonts w:ascii="Calibri" w:hAnsi="Calibri" w:cs="Calibri"/>
      <w:b/>
      <w:bCs/>
      <w:sz w:val="20"/>
      <w:szCs w:val="20"/>
    </w:rPr>
  </w:style>
  <w:style w:type="paragraph" w:customStyle="1" w:styleId="Body">
    <w:name w:val="Body"/>
    <w:rsid w:val="002A65E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ListParagraph">
    <w:name w:val="List Paragraph"/>
    <w:basedOn w:val="Normal"/>
    <w:uiPriority w:val="34"/>
    <w:qFormat/>
    <w:rsid w:val="00200C6A"/>
    <w:pPr>
      <w:ind w:left="720"/>
      <w:contextualSpacing/>
    </w:pPr>
  </w:style>
  <w:style w:type="paragraph" w:styleId="FootnoteText">
    <w:name w:val="footnote text"/>
    <w:basedOn w:val="Normal"/>
    <w:link w:val="FootnoteTextChar"/>
    <w:uiPriority w:val="99"/>
    <w:semiHidden/>
    <w:unhideWhenUsed/>
    <w:rsid w:val="004E56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660"/>
    <w:rPr>
      <w:rFonts w:ascii="Calibri" w:hAnsi="Calibri" w:cs="Calibri"/>
      <w:sz w:val="20"/>
      <w:szCs w:val="20"/>
    </w:rPr>
  </w:style>
  <w:style w:type="character" w:styleId="FootnoteReference">
    <w:name w:val="footnote reference"/>
    <w:basedOn w:val="DefaultParagraphFont"/>
    <w:uiPriority w:val="99"/>
    <w:semiHidden/>
    <w:unhideWhenUsed/>
    <w:rsid w:val="004E5660"/>
    <w:rPr>
      <w:vertAlign w:val="superscript"/>
    </w:rPr>
  </w:style>
  <w:style w:type="paragraph" w:styleId="NoSpacing">
    <w:name w:val="No Spacing"/>
    <w:uiPriority w:val="1"/>
    <w:qFormat/>
    <w:rsid w:val="000967E3"/>
    <w:pPr>
      <w:spacing w:after="0" w:line="240" w:lineRule="auto"/>
    </w:pPr>
    <w:rPr>
      <w:rFonts w:ascii="Calibri" w:hAnsi="Calibri" w:cs="Calibri"/>
    </w:rPr>
  </w:style>
  <w:style w:type="paragraph" w:styleId="Header">
    <w:name w:val="header"/>
    <w:basedOn w:val="Normal"/>
    <w:link w:val="HeaderChar"/>
    <w:uiPriority w:val="99"/>
    <w:unhideWhenUsed/>
    <w:rsid w:val="00096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7E3"/>
    <w:rPr>
      <w:rFonts w:ascii="Calibri" w:hAnsi="Calibri" w:cs="Calibri"/>
    </w:rPr>
  </w:style>
  <w:style w:type="paragraph" w:styleId="Footer">
    <w:name w:val="footer"/>
    <w:basedOn w:val="Normal"/>
    <w:link w:val="FooterChar"/>
    <w:uiPriority w:val="99"/>
    <w:unhideWhenUsed/>
    <w:rsid w:val="00096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7E3"/>
    <w:rPr>
      <w:rFonts w:ascii="Calibri" w:hAnsi="Calibri" w:cs="Calibri"/>
    </w:rPr>
  </w:style>
  <w:style w:type="character" w:styleId="UnresolvedMention">
    <w:name w:val="Unresolved Mention"/>
    <w:basedOn w:val="DefaultParagraphFont"/>
    <w:uiPriority w:val="99"/>
    <w:semiHidden/>
    <w:unhideWhenUsed/>
    <w:rsid w:val="002A4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0051">
      <w:bodyDiv w:val="1"/>
      <w:marLeft w:val="0"/>
      <w:marRight w:val="0"/>
      <w:marTop w:val="0"/>
      <w:marBottom w:val="0"/>
      <w:divBdr>
        <w:top w:val="none" w:sz="0" w:space="0" w:color="auto"/>
        <w:left w:val="none" w:sz="0" w:space="0" w:color="auto"/>
        <w:bottom w:val="none" w:sz="0" w:space="0" w:color="auto"/>
        <w:right w:val="none" w:sz="0" w:space="0" w:color="auto"/>
      </w:divBdr>
    </w:div>
    <w:div w:id="14519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x-board.org.uk/wp-content/uploads/2018/07/Guidance-on-Fixed-Penalty-Order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x-board.org.uk/wp-content/uploads/2018/07/Publicity-final-09072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x-board.org.uk/guidance-to-pane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douglas@tax-boar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D7FB8FB4713E478B1468CC407D2B3A" ma:contentTypeVersion="8" ma:contentTypeDescription="Create a new document." ma:contentTypeScope="" ma:versionID="6a6121e27231fada49ff9ed18c304f50">
  <xsd:schema xmlns:xsd="http://www.w3.org/2001/XMLSchema" xmlns:xs="http://www.w3.org/2001/XMLSchema" xmlns:p="http://schemas.microsoft.com/office/2006/metadata/properties" xmlns:ns3="dec9f14b-50ce-4e86-8588-a6ad26d2eebd" xmlns:ns4="39bc2748-ce80-4034-b1f2-00bd3e3c6c1e" targetNamespace="http://schemas.microsoft.com/office/2006/metadata/properties" ma:root="true" ma:fieldsID="6ab9052d7e1bab02bb06c8d290d91f5e" ns3:_="" ns4:_="">
    <xsd:import namespace="dec9f14b-50ce-4e86-8588-a6ad26d2eebd"/>
    <xsd:import namespace="39bc2748-ce80-4034-b1f2-00bd3e3c6c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9f14b-50ce-4e86-8588-a6ad26d2e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bc2748-ce80-4034-b1f2-00bd3e3c6c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4C27C-3031-4475-8FCE-FC148D10546B}">
  <ds:schemaRefs>
    <ds:schemaRef ds:uri="http://schemas.microsoft.com/sharepoint/v3/contenttype/forms"/>
  </ds:schemaRefs>
</ds:datastoreItem>
</file>

<file path=customXml/itemProps2.xml><?xml version="1.0" encoding="utf-8"?>
<ds:datastoreItem xmlns:ds="http://schemas.openxmlformats.org/officeDocument/2006/customXml" ds:itemID="{AAC931BF-44ED-49ED-BFC0-A5604F2A48B6}">
  <ds:schemaRefs>
    <ds:schemaRef ds:uri="http://schemas.microsoft.com/office/2006/documentManagement/types"/>
    <ds:schemaRef ds:uri="dec9f14b-50ce-4e86-8588-a6ad26d2eebd"/>
    <ds:schemaRef ds:uri="http://purl.org/dc/terms/"/>
    <ds:schemaRef ds:uri="http://purl.org/dc/elements/1.1/"/>
    <ds:schemaRef ds:uri="39bc2748-ce80-4034-b1f2-00bd3e3c6c1e"/>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00DD9DC-C644-416C-991F-8B36DF868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9f14b-50ce-4e86-8588-a6ad26d2eebd"/>
    <ds:schemaRef ds:uri="39bc2748-ce80-4034-b1f2-00bd3e3c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176D8-FC7C-4A62-B064-80447D3D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Brehcist</dc:creator>
  <cp:keywords/>
  <dc:description/>
  <cp:lastModifiedBy>peter douglas</cp:lastModifiedBy>
  <cp:revision>2</cp:revision>
  <cp:lastPrinted>2019-12-14T12:38:00Z</cp:lastPrinted>
  <dcterms:created xsi:type="dcterms:W3CDTF">2020-01-09T16:03:00Z</dcterms:created>
  <dcterms:modified xsi:type="dcterms:W3CDTF">2020-01-09T16:03:00Z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0x01010092D7FB8FB4713E478B1468CC407D2B3A</vt:lpwstr>
  </property>
</Properties>
</file>